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ind w:left="284" w:hanging="22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Załącznik nr 1.6 do SIWZ</w:t>
      </w:r>
    </w:p>
    <w:p>
      <w:pPr>
        <w:pStyle w:val="NoSpacing"/>
        <w:spacing w:lineRule="auto" w:line="276"/>
        <w:ind w:left="284" w:hanging="227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Zadanie : Kurs  wiedzy o winie</w:t>
      </w:r>
    </w:p>
    <w:p>
      <w:pPr>
        <w:pStyle w:val="NoSpacing"/>
        <w:spacing w:lineRule="auto" w:line="276"/>
        <w:ind w:left="284" w:hanging="227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5"/>
        </w:numPr>
        <w:spacing w:lineRule="auto" w:line="276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Miejsce przeprowadzenia kursu:</w:t>
      </w:r>
    </w:p>
    <w:p>
      <w:pPr>
        <w:pStyle w:val="ListParagraph"/>
        <w:spacing w:lineRule="auto" w:line="276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ab/>
        <w:t>Zespół Szkół Gastronomicznych, ul. Knyszyńska 12,15-702 Białystok.</w:t>
      </w:r>
    </w:p>
    <w:p>
      <w:pPr>
        <w:pStyle w:val="ListParagraph"/>
        <w:numPr>
          <w:ilvl w:val="0"/>
          <w:numId w:val="5"/>
        </w:numPr>
        <w:spacing w:lineRule="auto" w:line="276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Ilość godzin: </w:t>
      </w:r>
      <w:r>
        <w:rPr>
          <w:rFonts w:ascii="Times New Roman" w:hAnsi="Times New Roman"/>
        </w:rPr>
        <w:t>20 godzin x 45 min/1 grupa.</w:t>
      </w:r>
    </w:p>
    <w:p>
      <w:pPr>
        <w:pStyle w:val="ListParagraph"/>
        <w:numPr>
          <w:ilvl w:val="0"/>
          <w:numId w:val="5"/>
        </w:numPr>
        <w:spacing w:lineRule="auto" w:line="276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Planowana ilość osób:</w:t>
      </w:r>
      <w:r>
        <w:rPr>
          <w:rFonts w:ascii="Times New Roman" w:hAnsi="Times New Roman"/>
        </w:rPr>
        <w:t xml:space="preserve"> 11 osób (10 uczniów z kierunku Technik żywienia i usług gastronomicznych + 1 n-l)</w:t>
      </w:r>
    </w:p>
    <w:p>
      <w:pPr>
        <w:pStyle w:val="ListParagraph"/>
        <w:numPr>
          <w:ilvl w:val="0"/>
          <w:numId w:val="5"/>
        </w:numPr>
        <w:spacing w:lineRule="auto" w:line="276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Termin przeprowadzenia kursu:</w:t>
      </w:r>
      <w:r>
        <w:rPr>
          <w:rFonts w:ascii="Times New Roman" w:hAnsi="Times New Roman"/>
          <w:color w:val="000000"/>
        </w:rPr>
        <w:t xml:space="preserve"> marzec - czerwiec</w:t>
      </w:r>
      <w:r>
        <w:rPr>
          <w:rFonts w:ascii="Times New Roman" w:hAnsi="Times New Roman"/>
        </w:rPr>
        <w:t xml:space="preserve">  2021 r.</w:t>
      </w:r>
    </w:p>
    <w:p>
      <w:pPr>
        <w:pStyle w:val="ListParagraph"/>
        <w:numPr>
          <w:ilvl w:val="0"/>
          <w:numId w:val="5"/>
        </w:numPr>
        <w:spacing w:lineRule="auto" w:line="276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Kurs powinien być zrealizowany w dni wolne od zajęć dydaktycznych (po uprzednim uzgodnieniu terminu z przedstawicielem projektu).</w:t>
      </w:r>
    </w:p>
    <w:p>
      <w:pPr>
        <w:pStyle w:val="ListParagraph"/>
        <w:spacing w:lineRule="auto" w:line="276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5"/>
        </w:numPr>
        <w:spacing w:lineRule="auto" w:line="276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Dokumenty z kursu jakie winien przedłożyć Wykonawca po zakończeniu kursu: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Listę obecności uczestników zajęć.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Dziennik zajęć.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Potwierdzenie odbioru materiałów dydaktycznych.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Protokół odbioru zaświadczeń kursu.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Test kompetencji sprawdzający początkowy i końcowy - wzór. 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Testy kompetencji początkowy i końcowy sprawdzające wiedzę uczestników - oryginały.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Protokół testu kompetencji początkowego i końcowego.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Zdjęcia z przeprowadzanych zajęć na płycie CD lub DVD</w:t>
      </w:r>
      <w:r>
        <w:rPr>
          <w:rFonts w:ascii="Times New Roman" w:hAnsi="Times New Roman"/>
          <w:b/>
        </w:rPr>
        <w:t>.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Sprawozdanie z realizacji kursu zgodnie z przedstawionym wzorem przez Zamawiającego.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709" w:hanging="283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Kopie zaświadczeń wydanych uczestnikom. 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709" w:hanging="283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Wypełnione ankiety monitoringowe przekazane przez Zamawiającego. </w:t>
      </w:r>
    </w:p>
    <w:p>
      <w:pPr>
        <w:pStyle w:val="ListParagraph"/>
        <w:spacing w:lineRule="auto" w:line="276"/>
        <w:ind w:left="357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Zakres tematyczny kursu</w:t>
      </w:r>
    </w:p>
    <w:p>
      <w:pPr>
        <w:pStyle w:val="ListParagraph"/>
        <w:spacing w:lineRule="auto" w:line="276"/>
        <w:ind w:lef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Część teoretyczna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h</w:t>
      </w:r>
    </w:p>
    <w:p>
      <w:pPr>
        <w:pStyle w:val="ListParagraph"/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Warsztaty z opisu wina białego i czerwonego.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Regiony winiarskie Europy i główne odmiany winorośli. Ogólne spojrzenie na kraje i regiony uprawy winorośli.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Ogólna klasyfikacja win, czyli jak czytać etykiety.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Hierarchia ilościowa (podział wg barwy, stylu, owocu, zawartości cukru, metod produkcji, zawartości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itd.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Hierarchia jakościowa (wina stołowe, regionalne, wina o nazwie zastrzeżonej itd.).</w:t>
      </w:r>
    </w:p>
    <w:p>
      <w:pPr>
        <w:pStyle w:val="ListParagraph"/>
        <w:spacing w:lineRule="auto" w:line="276"/>
        <w:ind w:left="567" w:hanging="141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  <w:b/>
        </w:rPr>
        <w:t>Część praktyczna 1</w:t>
      </w:r>
      <w:r>
        <w:rPr>
          <w:rFonts w:eastAsia="Calibri" w:cs="Times New Roman" w:ascii="Times New Roman" w:hAnsi="Times New Roman"/>
          <w:b/>
          <w:lang w:eastAsia="zh-CN"/>
        </w:rPr>
        <w:t>4</w:t>
      </w:r>
      <w:r>
        <w:rPr>
          <w:rFonts w:ascii="Times New Roman" w:hAnsi="Times New Roman"/>
          <w:b/>
        </w:rPr>
        <w:t xml:space="preserve"> h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426" w:leader="none"/>
        </w:tabs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Warsztat sommeliera, czyli jak postępować z winem:</w:t>
      </w:r>
    </w:p>
    <w:p>
      <w:pPr>
        <w:pStyle w:val="ListParagraph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otwieranie wina,</w:t>
      </w:r>
    </w:p>
    <w:p>
      <w:pPr>
        <w:pStyle w:val="ListParagraph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napowietrzanie i dekantacja,</w:t>
      </w:r>
    </w:p>
    <w:p>
      <w:pPr>
        <w:pStyle w:val="ListParagraph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dobór kieliszków,</w:t>
      </w:r>
    </w:p>
    <w:p>
      <w:pPr>
        <w:pStyle w:val="ListParagraph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kolejność serwowania win,</w:t>
      </w:r>
    </w:p>
    <w:p>
      <w:pPr>
        <w:pStyle w:val="ListParagraph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dobór wina do potraw,</w:t>
      </w:r>
    </w:p>
    <w:p>
      <w:pPr>
        <w:pStyle w:val="ListParagraph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temperatura podawania wina,</w:t>
      </w:r>
    </w:p>
    <w:p>
      <w:pPr>
        <w:pStyle w:val="ListParagraph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najczęstsze wady wina,</w:t>
      </w:r>
    </w:p>
    <w:p>
      <w:pPr>
        <w:pStyle w:val="ListParagraph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przechowywanie i starzenie wina.</w:t>
      </w:r>
    </w:p>
    <w:p>
      <w:pPr>
        <w:pStyle w:val="ListParagraph"/>
        <w:numPr>
          <w:ilvl w:val="0"/>
          <w:numId w:val="9"/>
        </w:numPr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  <w:color w:val="1D1D1D"/>
          <w:shd w:fill="FFFFFF" w:val="clear"/>
        </w:rPr>
        <w:t>Profesjonalna degustacja wina.</w:t>
      </w:r>
    </w:p>
    <w:p>
      <w:pPr>
        <w:pStyle w:val="ListParagraph"/>
        <w:numPr>
          <w:ilvl w:val="0"/>
          <w:numId w:val="9"/>
        </w:numPr>
        <w:spacing w:lineRule="auto" w:line="276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Łączenie wina z potrawami:</w:t>
      </w:r>
    </w:p>
    <w:p>
      <w:pPr>
        <w:pStyle w:val="ListParagraph"/>
        <w:suppressAutoHyphens w:val="false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reguły łączenia wina z potrawami,</w:t>
      </w:r>
    </w:p>
    <w:p>
      <w:pPr>
        <w:pStyle w:val="ListParagraph"/>
        <w:suppressAutoHyphens w:val="false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>- łączenie podstawowych elementów kulinarnych z winem,</w:t>
      </w:r>
    </w:p>
    <w:p>
      <w:pPr>
        <w:pStyle w:val="ListParagraph"/>
        <w:suppressAutoHyphens w:val="false"/>
        <w:spacing w:lineRule="auto" w:line="276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  <w:color w:val="1D1D1D"/>
        </w:rPr>
        <w:t>- omówienie skutków połączeń.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76"/>
        <w:ind w:left="567" w:hanging="141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1D1D1D"/>
          <w:shd w:fill="FFFFFF" w:val="clear"/>
        </w:rPr>
        <w:t>Analiza wzrokowa, zapach, smak.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76"/>
        <w:ind w:left="567" w:hanging="141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1D1D1D"/>
          <w:shd w:fill="FFFFFF" w:val="clear"/>
        </w:rPr>
        <w:t>Degustacja opisowa i w ciemno analiza.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76"/>
        <w:ind w:left="567" w:hanging="14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Test kompetencji sprawdzający nabytą wiedzę.</w:t>
      </w:r>
    </w:p>
    <w:p>
      <w:pPr>
        <w:pStyle w:val="ListParagraph"/>
        <w:spacing w:lineRule="auto" w:line="276"/>
        <w:ind w:left="0" w:hanging="357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10"/>
        </w:numPr>
        <w:spacing w:lineRule="auto" w:line="276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Dokumenty wymagane od Wykonawcy przed zawarciem umowy </w:t>
      </w:r>
    </w:p>
    <w:p>
      <w:pPr>
        <w:pStyle w:val="ListParagraph"/>
        <w:numPr>
          <w:ilvl w:val="0"/>
          <w:numId w:val="7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Program kursu i harmonogram zajęć z uwzględnieniem zakresu tematycznego(z podziałem na godziny) oraz termin realizacji umowy (terminy dzienne i godzinowe z uwzględnieniem liczby osób) uzgodniony z przedstawicielem projektu „Gastronomik Białystok. Przepis na sukces”.</w:t>
      </w:r>
    </w:p>
    <w:p>
      <w:pPr>
        <w:pStyle w:val="ListParagraph"/>
        <w:numPr>
          <w:ilvl w:val="0"/>
          <w:numId w:val="7"/>
        </w:numPr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Opracowane materiały szkoleniowe (wzór) dla uczestników szkolenia i ZSG w Białymstoku do dołączenia do dokumentacji projektu.</w:t>
      </w:r>
    </w:p>
    <w:p>
      <w:pPr>
        <w:pStyle w:val="ListParagraph"/>
        <w:spacing w:lineRule="auto" w:line="276"/>
        <w:ind w:left="0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"/>
        <w:numPr>
          <w:ilvl w:val="0"/>
          <w:numId w:val="3"/>
        </w:numPr>
        <w:spacing w:lineRule="auto" w:line="276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b/>
        </w:rPr>
        <w:t>Cena zawiera: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koszty surowców i materiałów pomocniczych, potrzebnych do zrealizowania kursu zgodnie z programem i liczbą uczestników( min. na 1 uczestnika 200,00 zł.),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urządzenia i sprzęt niezbędny do realizacji szkolenia,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wszystkie elementy związane z realizacją zamówienia zgodnie z wymaganiami Zamawiającego zawartymi w SIWZ,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ewentualny koszt zakwaterowania, przejazdu i wyżywienia Wykonawcy,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zakup wszystkim uczestnikom kursu książki </w:t>
      </w:r>
      <w:r>
        <w:rPr>
          <w:rFonts w:ascii="Times New Roman" w:hAnsi="Times New Roman"/>
          <w:i/>
        </w:rPr>
        <w:t>"</w:t>
      </w:r>
      <w:r>
        <w:rPr>
          <w:rFonts w:ascii="Times New Roman" w:hAnsi="Times New Roman"/>
          <w:color w:val="000000"/>
        </w:rPr>
        <w:t>Wino. Praktyczny poradnik " - Wine  Folly</w:t>
      </w:r>
      <w:r>
        <w:rPr>
          <w:rFonts w:ascii="Times New Roman" w:hAnsi="Times New Roman"/>
        </w:rPr>
        <w:t xml:space="preserve"> lub "Wiedza o winie " tom1,2- M. Bardel, W. Gogoliński i korkociągu dźwigniowego(1 egz. dla każdego uczestnika szkolenia + 1 egz. dla szkoły)</w:t>
      </w:r>
      <w:r>
        <w:rPr>
          <w:rFonts w:ascii="Times New Roman" w:hAnsi="Times New Roman"/>
          <w:i/>
        </w:rPr>
        <w:t>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przekazanie materiałów szkoleniowych dla uczestników kursu oraz wzoru dla ZSG w Białymstoku (podręcznik i/lub skrypt) oraz inne materiały możliwe do wykorzystania po zakończeniu kursu w postaci np.: prezentacji multimedialnej, plansz, receptur lub innej użytej podczas kursu,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zaświadczenia - </w:t>
      </w:r>
      <w:r>
        <w:rPr>
          <w:rFonts w:ascii="Times New Roman" w:hAnsi="Times New Roman"/>
        </w:rPr>
        <w:t>Wykonawca zobowiązany będzie wydać uczestnikom zaświadczenia o ukończeniu szkolenia, o którym mowa w § 71 ust. 4 Rozporządzenia Ministra Pracy i Polityki Społecznej z  dnia 14 maja 2014 r. w sprawie szczegółowych warunków realizacji oraz trybu i sposobu prowadzenia usług rynku pracy,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koszt zakupu i przygotowania kawy, herbaty, wody, słodkiego poczęstunku i obiadu uczestnikom szkolenia.</w:t>
      </w:r>
    </w:p>
    <w:p>
      <w:pPr>
        <w:pStyle w:val="ListParagraph"/>
        <w:spacing w:lineRule="auto" w:line="276"/>
        <w:ind w:left="340" w:hanging="357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76"/>
        <w:ind w:lef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76"/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 zapewnia:</w:t>
      </w:r>
    </w:p>
    <w:p>
      <w:pPr>
        <w:pStyle w:val="ListParagraph"/>
        <w:numPr>
          <w:ilvl w:val="0"/>
          <w:numId w:val="8"/>
        </w:numPr>
        <w:spacing w:lineRule="auto" w:line="276"/>
        <w:ind w:left="357" w:firstLine="69"/>
        <w:rPr>
          <w:rFonts w:ascii="Times New Roman" w:hAnsi="Times New Roman"/>
        </w:rPr>
      </w:pPr>
      <w:r>
        <w:rPr>
          <w:rFonts w:ascii="Times New Roman" w:hAnsi="Times New Roman"/>
        </w:rPr>
        <w:t>pracownię, sprzęt informatyczny, zaplecze socjalne (szatnia, WC),</w:t>
      </w:r>
    </w:p>
    <w:p>
      <w:pPr>
        <w:pStyle w:val="ListParagraph"/>
        <w:numPr>
          <w:ilvl w:val="0"/>
          <w:numId w:val="8"/>
        </w:numPr>
        <w:spacing w:lineRule="auto" w:line="276"/>
        <w:ind w:left="357" w:firstLine="69"/>
        <w:rPr>
          <w:rFonts w:ascii="Times New Roman" w:hAnsi="Times New Roman"/>
        </w:rPr>
      </w:pPr>
      <w:r>
        <w:rPr>
          <w:rFonts w:ascii="Times New Roman" w:hAnsi="Times New Roman"/>
        </w:rPr>
        <w:t>wykaz uczniów wraz z niezbędnymi danymi.</w:t>
      </w:r>
    </w:p>
    <w:p>
      <w:pPr>
        <w:pStyle w:val="ListParagraph"/>
        <w:spacing w:lineRule="auto" w:line="276"/>
        <w:ind w:left="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"/>
        <w:spacing w:lineRule="auto" w:line="276"/>
        <w:ind w:left="0" w:hang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UWAGA:</w:t>
      </w:r>
    </w:p>
    <w:p>
      <w:pPr>
        <w:pStyle w:val="ListParagraph"/>
        <w:spacing w:lineRule="auto" w:line="276"/>
        <w:ind w:left="0" w:hanging="0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Zamawiający wymaga aby wszystkie dokumenty wytwarzane przez Wykonawcę wynikające z realizacji zamówienia (np. materiały szkoleniowe, harmonogram, zaświadczenie o ukończeniu kursu, protokoły odbioru zaświadczeń o ukończeniu kursu, listy obecności itd.) były sporządzane na papierze projektu zgodnym ze wzorem załączonym do Specyfikacji Istotnych Warunków Zamówienia.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586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."/>
      <w:lvlJc w:val="left"/>
      <w:pPr>
        <w:ind w:left="1077" w:hanging="360"/>
      </w:pPr>
      <w:rPr>
        <w:sz w:val="24"/>
        <w:b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9"/>
      <w:numFmt w:val="decimal"/>
      <w:lvlText w:val="%1."/>
      <w:lvlJc w:val="left"/>
      <w:pPr>
        <w:ind w:left="360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7"/>
      <w:numFmt w:val="decimal"/>
      <w:lvlText w:val="%1."/>
      <w:lvlJc w:val="left"/>
      <w:pPr>
        <w:ind w:left="1077" w:hanging="360"/>
      </w:pPr>
      <w:rPr>
        <w:b/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77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."/>
      <w:lvlJc w:val="left"/>
      <w:pPr>
        <w:ind w:left="1041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ind w:left="1761" w:hanging="360"/>
      </w:pPr>
    </w:lvl>
    <w:lvl w:ilvl="2">
      <w:start w:val="1"/>
      <w:numFmt w:val="lowerRoman"/>
      <w:lvlText w:val="%3."/>
      <w:lvlJc w:val="right"/>
      <w:pPr>
        <w:ind w:left="2481" w:hanging="180"/>
      </w:pPr>
    </w:lvl>
    <w:lvl w:ilvl="3">
      <w:start w:val="1"/>
      <w:numFmt w:val="decimal"/>
      <w:lvlText w:val="%4."/>
      <w:lvlJc w:val="left"/>
      <w:pPr>
        <w:ind w:left="3201" w:hanging="360"/>
      </w:pPr>
    </w:lvl>
    <w:lvl w:ilvl="4">
      <w:start w:val="1"/>
      <w:numFmt w:val="lowerLetter"/>
      <w:lvlText w:val="%5."/>
      <w:lvlJc w:val="left"/>
      <w:pPr>
        <w:ind w:left="3921" w:hanging="360"/>
      </w:pPr>
    </w:lvl>
    <w:lvl w:ilvl="5">
      <w:start w:val="1"/>
      <w:numFmt w:val="lowerRoman"/>
      <w:lvlText w:val="%6."/>
      <w:lvlJc w:val="right"/>
      <w:pPr>
        <w:ind w:left="4641" w:hanging="180"/>
      </w:pPr>
    </w:lvl>
    <w:lvl w:ilvl="6">
      <w:start w:val="1"/>
      <w:numFmt w:val="decimal"/>
      <w:lvlText w:val="%7."/>
      <w:lvlJc w:val="left"/>
      <w:pPr>
        <w:ind w:left="5361" w:hanging="360"/>
      </w:pPr>
    </w:lvl>
    <w:lvl w:ilvl="7">
      <w:start w:val="1"/>
      <w:numFmt w:val="lowerLetter"/>
      <w:lvlText w:val="%8."/>
      <w:lvlJc w:val="left"/>
      <w:pPr>
        <w:ind w:left="6081" w:hanging="360"/>
      </w:pPr>
    </w:lvl>
    <w:lvl w:ilvl="8">
      <w:start w:val="1"/>
      <w:numFmt w:val="lowerRoman"/>
      <w:lvlText w:val="%9."/>
      <w:lvlJc w:val="right"/>
      <w:pPr>
        <w:ind w:left="6801" w:hanging="180"/>
      </w:pPr>
    </w:lvl>
  </w:abstractNum>
  <w:abstractNum w:abstractNumId="7">
    <w:lvl w:ilvl="0">
      <w:start w:val="1"/>
      <w:numFmt w:val="lowerLetter"/>
      <w:lvlText w:val="%1."/>
      <w:lvlJc w:val="left"/>
      <w:pPr>
        <w:ind w:left="1083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lowerLetter"/>
      <w:lvlText w:val="%1."/>
      <w:lvlJc w:val="left"/>
      <w:pPr>
        <w:ind w:left="1060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2"/>
      <w:numFmt w:val="lowerLetter"/>
      <w:lvlText w:val="%1."/>
      <w:lvlJc w:val="left"/>
      <w:pPr>
        <w:ind w:left="1060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8"/>
      <w:numFmt w:val="decimal"/>
      <w:lvlText w:val="%1."/>
      <w:lvlJc w:val="left"/>
      <w:pPr>
        <w:ind w:left="720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."/>
      <w:lvlJc w:val="left"/>
      <w:pPr>
        <w:ind w:left="586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926"/>
    <w:pPr>
      <w:widowControl/>
      <w:suppressAutoHyphens w:val="true"/>
      <w:bidi w:val="0"/>
      <w:spacing w:lineRule="auto" w:line="240" w:before="0" w:after="0"/>
      <w:ind w:left="454" w:hanging="227"/>
      <w:jc w:val="both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83926"/>
    <w:pPr>
      <w:spacing w:before="0" w:after="0"/>
      <w:ind w:left="720" w:hanging="357"/>
      <w:contextualSpacing/>
    </w:pPr>
    <w:rPr>
      <w:rFonts w:eastAsia="Calibri" w:cs="Times New Roman"/>
    </w:rPr>
  </w:style>
  <w:style w:type="paragraph" w:styleId="NoSpacing">
    <w:name w:val="No Spacing"/>
    <w:qFormat/>
    <w:rsid w:val="00583926"/>
    <w:pPr>
      <w:widowControl/>
      <w:suppressAutoHyphens w:val="true"/>
      <w:bidi w:val="0"/>
      <w:spacing w:lineRule="auto" w:line="240" w:before="0" w:after="0"/>
      <w:ind w:left="3402" w:hanging="227"/>
      <w:jc w:val="both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LibreOffice/6.4.2.2$Windows_X86_64 LibreOffice_project/4e471d8c02c9c90f512f7f9ead8875b57fcb1ec3</Application>
  <Pages>3</Pages>
  <Words>625</Words>
  <Characters>3915</Characters>
  <CharactersWithSpaces>4445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2020-12-17T12:32:00Z</dcterms:created>
  <dc:creator>DCKP</dc:creator>
  <dc:description/>
  <dc:language>pl-PL</dc:language>
  <cp:lastModifiedBy/>
  <dcterms:modified xsi:type="dcterms:W3CDTF">2020-12-20T20:53:25Z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